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ROSPA0014ZPB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Câmpia Cermeiului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97635927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03731547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76805808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265,25</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1,08%</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RO42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Vest </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Arad </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97642460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10999890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4,21%</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23501594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95,79%</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09921401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51026737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83768134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43,26</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rih3t9dgqoea" w:id="0"/>
      <w:bookmarkEnd w:id="0"/>
      <w:r w:rsidDel="00000000" w:rsidR="00000000" w:rsidRPr="00000000">
        <w:rPr>
          <w:sz w:val="22"/>
          <w:szCs w:val="22"/>
          <w:rtl w:val="0"/>
        </w:rPr>
        <w:t xml:space="preserve">RONPA0108</w:t>
        <w:tab/>
        <w:t xml:space="preserve">Hotărârea Consiliului Județean Arad nr. 1/1995: Pădurea Sâc;</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1180/2016 privind aprobarea Planului de management al sitului Natura 2000 ROSPA0014 Câmpia Cermeiului și al ariilor naturale protejate conexe.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sz w:val="22"/>
                <w:szCs w:val="22"/>
              </w:rPr>
            </w:pPr>
            <w:r w:rsidDel="00000000" w:rsidR="00000000" w:rsidRPr="00000000">
              <w:rPr>
                <w:sz w:val="22"/>
                <w:szCs w:val="22"/>
                <w:rtl w:val="0"/>
              </w:rPr>
              <w:t xml:space="preserve">Ecosistem de păduri temperate europene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bookmarkStart w:colFirst="0" w:colLast="0" w:name="_heading=h.n87365u0yfh" w:id="1"/>
            <w:bookmarkEnd w:id="1"/>
            <w:r w:rsidDel="00000000" w:rsidR="00000000" w:rsidRPr="00000000">
              <w:rPr>
                <w:i w:val="1"/>
                <w:iCs w:val="1"/>
                <w:sz w:val="22"/>
                <w:szCs w:val="22"/>
                <w:rtl w:val="0"/>
              </w:rPr>
              <w:t xml:space="preserve">A246 Lullula arborea</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A028 Ardea cinerea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jc w:val="both"/>
              <w:rPr>
                <w:sz w:val="22"/>
                <w:szCs w:val="22"/>
              </w:rPr>
            </w:pPr>
            <w:r w:rsidDel="00000000" w:rsidR="00000000" w:rsidRPr="00000000">
              <w:rPr>
                <w:sz w:val="22"/>
                <w:szCs w:val="22"/>
                <w:rtl w:val="0"/>
              </w:rPr>
              <w:t xml:space="preserve">Această ZPB cuprinde Rezervația Pădurea Sâc, și reprezintă un ecosistem forestier de o valoare excepțională. Statutul TI garantează liniștea absolută și integritatea habitatelor, elemente vitale pentru funcția sa principală: protecția coloniei de stârc cenușiu (</w:t>
            </w:r>
            <w:r w:rsidDel="00000000" w:rsidR="00000000" w:rsidRPr="00000000">
              <w:rPr>
                <w:i w:val="1"/>
                <w:iCs w:val="1"/>
                <w:sz w:val="22"/>
                <w:szCs w:val="22"/>
                <w:rtl w:val="0"/>
              </w:rPr>
              <w:t xml:space="preserve">Ardea cinerea</w:t>
            </w:r>
            <w:r w:rsidDel="00000000" w:rsidR="00000000" w:rsidRPr="00000000">
              <w:rPr>
                <w:sz w:val="22"/>
                <w:szCs w:val="22"/>
                <w:rtl w:val="0"/>
              </w:rPr>
              <w:t xml:space="preserve">). Această zonă oferă suportul necesar pentru cuibăritul colonial, arborii bătrâni și proximitatea zonelor umede fiind pilonii stabilității acestei populații. Valoarea ecologică a sitului este completată de prezența unor specii de pădure dependente de arbori maturi și scorburi, precum ciocănitoarea de grădină și ciocănitoarea medie, alături de ciocârlia de pădure  care utilizează zonele de lizieră. Prin regimul său de protecție strictă, Pădurea Sâc funcționează ca un nucleu de biodiversitate și un laborator natural de referință, asigurând conservarea unui ecosistem nealterat unde dinamica populațiilor de păsări se desfășoară conform ciclurilor naturale, fără presiuni antropice.</w:t>
            </w:r>
          </w:p>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seculare, pădurile încadrate în tipul funcțional T1 și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A">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C">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D">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221,99</w:t>
      </w:r>
    </w:p>
    <w:p w:rsidR="00000000" w:rsidDel="00000000" w:rsidP="00000000" w:rsidRDefault="00000000" w:rsidRPr="00000000" w14:paraId="000000AF">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1180/2016 privind aprobarea Planului de management al sitului Natura 2000 ROSPA0014 Câmpia Cermeiului și al ariilor naturale protejate conexe.</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3">
      <w:pPr>
        <w:spacing w:after="0" w:before="160" w:line="30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B4">
      <w:pPr>
        <w:spacing w:after="0" w:before="160" w:line="300" w:lineRule="auto"/>
        <w:rPr>
          <w:sz w:val="22"/>
          <w:szCs w:val="22"/>
        </w:rPr>
      </w:pPr>
      <w:r w:rsidDel="00000000" w:rsidR="00000000" w:rsidRPr="00000000">
        <w:rPr>
          <w:rtl w:val="0"/>
        </w:rPr>
      </w:r>
    </w:p>
    <w:tbl>
      <w:tblPr>
        <w:tblStyle w:val="Table9"/>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300" w:lineRule="auto"/>
              <w:rPr>
                <w:sz w:val="22"/>
                <w:szCs w:val="22"/>
              </w:rPr>
            </w:pPr>
            <w:r w:rsidDel="00000000" w:rsidR="00000000" w:rsidRPr="00000000">
              <w:rPr>
                <w:sz w:val="22"/>
                <w:szCs w:val="22"/>
                <w:rtl w:val="0"/>
              </w:rPr>
              <w:t xml:space="preserve">Ecosisteme de păduri temperate europene;</w:t>
              <w:br w:type="textWrapping"/>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A307 Sylvia nisoria</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jc w:val="both"/>
              <w:rPr>
                <w:sz w:val="22"/>
                <w:szCs w:val="22"/>
              </w:rPr>
            </w:pPr>
            <w:r w:rsidDel="00000000" w:rsidR="00000000" w:rsidRPr="00000000">
              <w:rPr>
                <w:sz w:val="22"/>
                <w:szCs w:val="22"/>
                <w:rtl w:val="0"/>
              </w:rPr>
              <w:t xml:space="preserve">Zona funcționează ca un coridor biologic. Pădurile contribuie la stocarea carbonului și la reglarea climatului local.</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Desemnarea ca ZPB se fundamentează pe valoarea conservativă cumulată a habitatelor și speciilor de interes comunitar, naturalitatea ridicată a ecosistemelor și contribuția la prevenirea și reducerea efectelor schimbărilor climatice.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300" w:lineRule="auto"/>
              <w:rPr>
                <w:sz w:val="22"/>
                <w:szCs w:val="22"/>
              </w:rPr>
            </w:pPr>
            <w:r w:rsidDel="00000000" w:rsidR="00000000" w:rsidRPr="00000000">
              <w:rPr>
                <w:sz w:val="22"/>
                <w:szCs w:val="22"/>
                <w:rtl w:val="0"/>
              </w:rPr>
              <w:t xml:space="preserve">B 02.02 Curatarea padurii</w:t>
            </w:r>
          </w:p>
          <w:p w:rsidR="00000000" w:rsidDel="00000000" w:rsidP="00000000" w:rsidRDefault="00000000" w:rsidRPr="00000000" w14:paraId="000000C5">
            <w:pPr>
              <w:spacing w:after="0" w:line="300" w:lineRule="auto"/>
              <w:rPr>
                <w:sz w:val="22"/>
                <w:szCs w:val="22"/>
              </w:rPr>
            </w:pPr>
            <w:r w:rsidDel="00000000" w:rsidR="00000000" w:rsidRPr="00000000">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1">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E8">
      <w:pPr>
        <w:spacing w:after="0" w:line="300" w:lineRule="auto"/>
        <w:rPr>
          <w:sz w:val="22"/>
          <w:szCs w:val="22"/>
        </w:rPr>
      </w:pPr>
      <w:r w:rsidDel="00000000" w:rsidR="00000000" w:rsidRPr="00000000">
        <w:rPr>
          <w:rtl w:val="0"/>
        </w:rPr>
      </w:r>
    </w:p>
    <w:p w:rsidR="00000000" w:rsidDel="00000000" w:rsidP="00000000" w:rsidRDefault="00000000" w:rsidRPr="00000000" w14:paraId="000000E9">
      <w:pPr>
        <w:spacing w:after="80" w:before="240" w:line="300" w:lineRule="auto"/>
        <w:rPr>
          <w:sz w:val="22"/>
          <w:szCs w:val="22"/>
        </w:rPr>
      </w:pPr>
      <w:r w:rsidDel="00000000" w:rsidR="00000000" w:rsidRPr="00000000">
        <w:rPr>
          <w:rtl w:val="0"/>
        </w:rPr>
      </w:r>
    </w:p>
    <w:p w:rsidR="00000000" w:rsidDel="00000000" w:rsidP="00000000" w:rsidRDefault="00000000" w:rsidRPr="00000000" w14:paraId="000000EA">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Munteanu, D. (coord.). Atlasul păsărilor clocitoare din România. Ed. a 2-a. Cluj-Napoca: Societatea Ornitologică Română, 2002. 151 p. (Publicațiile S.O.R., nr. 16).</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Munteanu, D. (2009).  Păsări rare, vulnerabile şi periclitate în România. Cluj-Napoca, Ed Alma Mater</w:t>
      </w:r>
    </w:p>
    <w:p w:rsidR="00000000" w:rsidDel="00000000" w:rsidP="00000000" w:rsidRDefault="00000000" w:rsidRPr="00000000" w14:paraId="000000ED">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E">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3 februarie 2025 – Arad, jud. Arad. Ulterior, în cadrul procesului de consultare extins la nivel național, a avut loc o consultare suplimentară online în data de 21 ianuarie 2026, cu participarea factorilor interesați relevanți din județul Arad.</w:t>
      </w:r>
    </w:p>
    <w:p w:rsidR="00000000" w:rsidDel="00000000" w:rsidP="00000000" w:rsidRDefault="00000000" w:rsidRPr="00000000" w14:paraId="000000F0">
      <w:pPr>
        <w:spacing w:after="0" w:line="300" w:lineRule="auto"/>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1">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2">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a" w:customStyle="1">
    <w:basedOn w:val="TableNormal3"/>
    <w:tblPr>
      <w:tblStyleRowBandSize w:val="1"/>
      <w:tblStyleColBandSize w:val="1"/>
      <w:tblCellMar>
        <w:left w:w="10.0" w:type="dxa"/>
        <w:right w:w="10.0" w:type="dxa"/>
      </w:tblCellMar>
    </w:tblPr>
  </w:style>
  <w:style w:type="table" w:styleId="a0" w:customStyle="1">
    <w:basedOn w:val="TableNormal3"/>
    <w:tblPr>
      <w:tblStyleRowBandSize w:val="1"/>
      <w:tblStyleColBandSize w:val="1"/>
      <w:tblCellMar>
        <w:top w:w="50.0" w:type="dxa"/>
        <w:left w:w="50.0" w:type="dxa"/>
        <w:bottom w:w="50.0" w:type="dxa"/>
        <w:right w:w="50.0" w:type="dxa"/>
      </w:tblCellMar>
    </w:tblPr>
  </w:style>
  <w:style w:type="table" w:styleId="a1" w:customStyle="1">
    <w:basedOn w:val="TableNormal3"/>
    <w:tblPr>
      <w:tblStyleRowBandSize w:val="1"/>
      <w:tblStyleColBandSize w:val="1"/>
      <w:tblCellMar>
        <w:top w:w="50.0" w:type="dxa"/>
        <w:left w:w="50.0" w:type="dxa"/>
        <w:bottom w:w="50.0" w:type="dxa"/>
        <w:right w:w="50.0" w:type="dxa"/>
      </w:tblCellMar>
    </w:tblPr>
  </w:style>
  <w:style w:type="table" w:styleId="a2" w:customStyle="1">
    <w:basedOn w:val="TableNormal3"/>
    <w:tblPr>
      <w:tblStyleRowBandSize w:val="1"/>
      <w:tblStyleColBandSize w:val="1"/>
      <w:tblCellMar>
        <w:left w:w="10.0" w:type="dxa"/>
        <w:right w:w="10.0" w:type="dxa"/>
      </w:tblCellMar>
    </w:tblPr>
  </w:style>
  <w:style w:type="table" w:styleId="a3" w:customStyle="1">
    <w:basedOn w:val="TableNormal3"/>
    <w:tblPr>
      <w:tblStyleRowBandSize w:val="1"/>
      <w:tblStyleColBandSize w:val="1"/>
      <w:tblCellMar>
        <w:top w:w="50.0" w:type="dxa"/>
        <w:left w:w="50.0" w:type="dxa"/>
        <w:bottom w:w="50.0" w:type="dxa"/>
        <w:right w:w="50.0" w:type="dxa"/>
      </w:tblCellMar>
    </w:tblPr>
  </w:style>
  <w:style w:type="table" w:styleId="a4" w:customStyle="1">
    <w:basedOn w:val="TableNormal3"/>
    <w:tblPr>
      <w:tblStyleRowBandSize w:val="1"/>
      <w:tblStyleColBandSize w:val="1"/>
      <w:tblCellMar>
        <w:left w:w="10.0" w:type="dxa"/>
        <w:right w:w="10.0" w:type="dxa"/>
      </w:tblCellMar>
    </w:tblPr>
  </w:style>
  <w:style w:type="table" w:styleId="a5" w:customStyle="1">
    <w:basedOn w:val="TableNormal3"/>
    <w:tblPr>
      <w:tblStyleRowBandSize w:val="1"/>
      <w:tblStyleColBandSize w:val="1"/>
      <w:tblCellMar>
        <w:left w:w="10.0" w:type="dxa"/>
        <w:right w:w="10.0" w:type="dxa"/>
      </w:tblCellMar>
    </w:tblPr>
  </w:style>
  <w:style w:type="table" w:styleId="a6" w:customStyle="1">
    <w:basedOn w:val="TableNormal3"/>
    <w:tblPr>
      <w:tblStyleRowBandSize w:val="1"/>
      <w:tblStyleColBandSize w:val="1"/>
      <w:tblCellMar>
        <w:left w:w="10.0" w:type="dxa"/>
        <w:right w:w="10.0" w:type="dxa"/>
      </w:tblCellMar>
    </w:tblPr>
  </w:style>
  <w:style w:type="table" w:styleId="a7" w:customStyle="1">
    <w:basedOn w:val="TableNormal3"/>
    <w:tblPr>
      <w:tblStyleRowBandSize w:val="1"/>
      <w:tblStyleColBandSize w:val="1"/>
      <w:tblCellMar>
        <w:left w:w="10.0" w:type="dxa"/>
        <w:right w:w="10.0" w:type="dxa"/>
      </w:tblCellMar>
    </w:tblPr>
  </w:style>
  <w:style w:type="table" w:styleId="a8" w:customStyle="1">
    <w:basedOn w:val="TableNormal3"/>
    <w:tblPr>
      <w:tblStyleRowBandSize w:val="1"/>
      <w:tblStyleColBandSize w:val="1"/>
      <w:tblCellMar>
        <w:left w:w="10.0" w:type="dxa"/>
        <w:right w:w="10.0" w:type="dxa"/>
      </w:tblCellMar>
    </w:tblPr>
  </w:style>
  <w:style w:type="table" w:styleId="a9" w:customStyle="1">
    <w:basedOn w:val="TableNormal3"/>
    <w:tblPr>
      <w:tblStyleRowBandSize w:val="1"/>
      <w:tblStyleColBandSize w:val="1"/>
      <w:tblCellMar>
        <w:left w:w="10.0" w:type="dxa"/>
        <w:right w:w="10.0" w:type="dxa"/>
      </w:tblCellMar>
    </w:tblPr>
  </w:style>
  <w:style w:type="table" w:styleId="aa" w:customStyle="1">
    <w:basedOn w:val="TableNormal3"/>
    <w:tblPr>
      <w:tblStyleRowBandSize w:val="1"/>
      <w:tblStyleColBandSize w:val="1"/>
      <w:tblCellMar>
        <w:left w:w="10.0" w:type="dxa"/>
        <w:right w:w="10.0" w:type="dxa"/>
      </w:tblCellMar>
    </w:tblPr>
  </w:style>
  <w:style w:type="table" w:styleId="ab" w:customStyle="1">
    <w:basedOn w:val="TableNormal3"/>
    <w:tblPr>
      <w:tblStyleRowBandSize w:val="1"/>
      <w:tblStyleColBandSize w:val="1"/>
      <w:tblCellMar>
        <w:left w:w="10.0" w:type="dxa"/>
        <w:right w:w="10.0" w:type="dxa"/>
      </w:tblCellMar>
    </w:tblPr>
  </w:style>
  <w:style w:type="table" w:styleId="ac" w:customStyle="1">
    <w:basedOn w:val="TableNormal3"/>
    <w:tblPr>
      <w:tblStyleRowBandSize w:val="1"/>
      <w:tblStyleColBandSize w:val="1"/>
      <w:tblCellMar>
        <w:left w:w="10.0" w:type="dxa"/>
        <w:right w:w="10.0" w:type="dxa"/>
      </w:tblCellMar>
    </w:tblPr>
  </w:style>
  <w:style w:type="table" w:styleId="ad" w:customStyle="1">
    <w:basedOn w:val="TableNormal3"/>
    <w:tblPr>
      <w:tblStyleRowBandSize w:val="1"/>
      <w:tblStyleColBandSize w:val="1"/>
      <w:tblCellMar>
        <w:left w:w="10.0" w:type="dxa"/>
        <w:right w:w="10.0" w:type="dxa"/>
      </w:tblCellMar>
    </w:tblPr>
  </w:style>
  <w:style w:type="table" w:styleId="ae" w:customStyle="1">
    <w:basedOn w:val="TableNormal3"/>
    <w:tblPr>
      <w:tblStyleRowBandSize w:val="1"/>
      <w:tblStyleColBandSize w:val="1"/>
      <w:tblCellMar>
        <w:left w:w="10.0" w:type="dxa"/>
        <w:right w:w="10.0" w:type="dxa"/>
      </w:tblCellMar>
    </w:tblPr>
  </w:style>
  <w:style w:type="table" w:styleId="af" w:customStyle="1">
    <w:basedOn w:val="TableNormal3"/>
    <w:tblPr>
      <w:tblStyleRowBandSize w:val="1"/>
      <w:tblStyleColBandSize w:val="1"/>
      <w:tblCellMar>
        <w:left w:w="10.0" w:type="dxa"/>
        <w:right w:w="10.0" w:type="dxa"/>
      </w:tblCellMar>
    </w:tblPr>
  </w:style>
  <w:style w:type="paragraph" w:styleId="ListParagraph">
    <w:name w:val="List Paragraph"/>
    <w:basedOn w:val="Normal"/>
    <w:uiPriority w:val="34"/>
    <w:qFormat w:val="1"/>
    <w:rsid w:val="004B44ED"/>
    <w:pPr>
      <w:ind w:left="720"/>
      <w:contextualSpacing w:val="1"/>
    </w:pPr>
  </w:style>
  <w:style w:type="character" w:styleId="Hyperlink">
    <w:name w:val="Hyperlink"/>
    <w:basedOn w:val="DefaultParagraphFont"/>
    <w:uiPriority w:val="99"/>
    <w:unhideWhenUsed w:val="1"/>
    <w:rsid w:val="00FA1A74"/>
    <w:rPr>
      <w:color w:val="0000ff" w:themeColor="hyperlink"/>
      <w:u w:val="single"/>
    </w:rPr>
  </w:style>
  <w:style w:type="character" w:styleId="UnresolvedMention">
    <w:name w:val="Unresolved Mention"/>
    <w:basedOn w:val="DefaultParagraphFont"/>
    <w:uiPriority w:val="99"/>
    <w:semiHidden w:val="1"/>
    <w:unhideWhenUsed w:val="1"/>
    <w:rsid w:val="00FA1A74"/>
    <w:rPr>
      <w:color w:val="605e5c"/>
      <w:shd w:color="auto" w:fill="e1dfdd" w:val="clear"/>
    </w:rPr>
  </w:style>
  <w:style w:type="table" w:styleId="af0" w:customStyle="1">
    <w:basedOn w:val="TableNormal"/>
    <w:tblPr>
      <w:tblStyleRowBandSize w:val="1"/>
      <w:tblStyleColBandSize w:val="1"/>
      <w:tblCellMar>
        <w:left w:w="10.0" w:type="dxa"/>
        <w:right w:w="10.0" w:type="dxa"/>
      </w:tblCellMar>
    </w:tblPr>
  </w:style>
  <w:style w:type="table" w:styleId="af1" w:customStyle="1">
    <w:basedOn w:val="TableNormal"/>
    <w:tblPr>
      <w:tblStyleRowBandSize w:val="1"/>
      <w:tblStyleColBandSize w:val="1"/>
      <w:tblCellMar>
        <w:top w:w="50.0" w:type="dxa"/>
        <w:left w:w="50.0" w:type="dxa"/>
        <w:bottom w:w="50.0" w:type="dxa"/>
        <w:right w:w="50.0" w:type="dxa"/>
      </w:tblCellMar>
    </w:tblPr>
  </w:style>
  <w:style w:type="table" w:styleId="af2" w:customStyle="1">
    <w:basedOn w:val="TableNormal"/>
    <w:tblPr>
      <w:tblStyleRowBandSize w:val="1"/>
      <w:tblStyleColBandSize w:val="1"/>
      <w:tblCellMar>
        <w:top w:w="50.0" w:type="dxa"/>
        <w:left w:w="50.0" w:type="dxa"/>
        <w:bottom w:w="50.0" w:type="dxa"/>
        <w:right w:w="50.0" w:type="dxa"/>
      </w:tblCellMar>
    </w:tblPr>
  </w:style>
  <w:style w:type="table" w:styleId="af3" w:customStyle="1">
    <w:basedOn w:val="TableNormal"/>
    <w:tblPr>
      <w:tblStyleRowBandSize w:val="1"/>
      <w:tblStyleColBandSize w:val="1"/>
      <w:tblCellMar>
        <w:left w:w="10.0" w:type="dxa"/>
        <w:right w:w="10.0" w:type="dxa"/>
      </w:tblCellMar>
    </w:tblPr>
  </w:style>
  <w:style w:type="table" w:styleId="af4" w:customStyle="1">
    <w:basedOn w:val="TableNormal"/>
    <w:tblPr>
      <w:tblStyleRowBandSize w:val="1"/>
      <w:tblStyleColBandSize w:val="1"/>
      <w:tblCellMar>
        <w:top w:w="50.0" w:type="dxa"/>
        <w:left w:w="50.0" w:type="dxa"/>
        <w:bottom w:w="50.0" w:type="dxa"/>
        <w:right w:w="50.0" w:type="dxa"/>
      </w:tblCellMar>
    </w:tblPr>
  </w:style>
  <w:style w:type="table" w:styleId="af5" w:customStyle="1">
    <w:basedOn w:val="TableNormal"/>
    <w:tblPr>
      <w:tblStyleRowBandSize w:val="1"/>
      <w:tblStyleColBandSize w:val="1"/>
      <w:tblCellMar>
        <w:left w:w="10.0" w:type="dxa"/>
        <w:right w:w="10.0" w:type="dxa"/>
      </w:tblCellMar>
    </w:tblPr>
  </w:style>
  <w:style w:type="table" w:styleId="af6" w:customStyle="1">
    <w:basedOn w:val="TableNormal"/>
    <w:tblPr>
      <w:tblStyleRowBandSize w:val="1"/>
      <w:tblStyleColBandSize w:val="1"/>
      <w:tblCellMar>
        <w:left w:w="10.0" w:type="dxa"/>
        <w:right w:w="10.0" w:type="dxa"/>
      </w:tblCellMar>
    </w:tblPr>
  </w:style>
  <w:style w:type="table" w:styleId="af7" w:customStyle="1">
    <w:basedOn w:val="TableNormal"/>
    <w:tblPr>
      <w:tblStyleRowBandSize w:val="1"/>
      <w:tblStyleColBandSize w:val="1"/>
      <w:tblCellMar>
        <w:left w:w="10.0" w:type="dxa"/>
        <w:right w:w="10.0" w:type="dxa"/>
      </w:tblCellMar>
    </w:tblPr>
  </w:style>
  <w:style w:type="table" w:styleId="af8" w:customStyle="1">
    <w:basedOn w:val="TableNormal"/>
    <w:tblPr>
      <w:tblStyleRowBandSize w:val="1"/>
      <w:tblStyleColBandSize w:val="1"/>
      <w:tblCellMar>
        <w:left w:w="10.0" w:type="dxa"/>
        <w:right w:w="10.0" w:type="dxa"/>
      </w:tblCellMar>
    </w:tblPr>
  </w:style>
  <w:style w:type="table" w:styleId="af9" w:customStyle="1">
    <w:basedOn w:val="TableNormal"/>
    <w:tblPr>
      <w:tblStyleRowBandSize w:val="1"/>
      <w:tblStyleColBandSize w:val="1"/>
      <w:tblCellMar>
        <w:left w:w="10.0" w:type="dxa"/>
        <w:right w:w="10.0" w:type="dxa"/>
      </w:tblCellMar>
    </w:tblPr>
  </w:style>
  <w:style w:type="table" w:styleId="afa" w:customStyle="1">
    <w:basedOn w:val="TableNormal"/>
    <w:tblPr>
      <w:tblStyleRowBandSize w:val="1"/>
      <w:tblStyleColBandSize w:val="1"/>
      <w:tblCellMar>
        <w:left w:w="10.0" w:type="dxa"/>
        <w:right w:w="10.0" w:type="dxa"/>
      </w:tblCellMar>
    </w:tblPr>
  </w:style>
  <w:style w:type="table" w:styleId="afb" w:customStyle="1">
    <w:basedOn w:val="TableNormal"/>
    <w:tblPr>
      <w:tblStyleRowBandSize w:val="1"/>
      <w:tblStyleColBandSize w:val="1"/>
      <w:tblCellMar>
        <w:top w:w="50.0" w:type="dxa"/>
        <w:left w:w="50.0" w:type="dxa"/>
        <w:bottom w:w="50.0" w:type="dxa"/>
        <w:right w:w="50.0" w:type="dxa"/>
      </w:tblCellMar>
    </w:tblPr>
  </w:style>
  <w:style w:type="table" w:styleId="afc" w:customStyle="1">
    <w:basedOn w:val="TableNormal"/>
    <w:tblPr>
      <w:tblStyleRowBandSize w:val="1"/>
      <w:tblStyleColBandSize w:val="1"/>
      <w:tblCellMar>
        <w:top w:w="50.0" w:type="dxa"/>
        <w:left w:w="50.0" w:type="dxa"/>
        <w:bottom w:w="50.0" w:type="dxa"/>
        <w:right w:w="50.0" w:type="dxa"/>
      </w:tblCellMar>
    </w:tblPr>
  </w:style>
  <w:style w:type="table" w:styleId="afd" w:customStyle="1">
    <w:basedOn w:val="TableNormal"/>
    <w:tblPr>
      <w:tblStyleRowBandSize w:val="1"/>
      <w:tblStyleColBandSize w:val="1"/>
      <w:tblCellMar>
        <w:left w:w="10.0" w:type="dxa"/>
        <w:right w:w="10.0" w:type="dxa"/>
      </w:tblCellMar>
    </w:tblPr>
  </w:style>
  <w:style w:type="table" w:styleId="afe" w:customStyle="1">
    <w:basedOn w:val="TableNormal"/>
    <w:tblPr>
      <w:tblStyleRowBandSize w:val="1"/>
      <w:tblStyleColBandSize w:val="1"/>
      <w:tblCellMar>
        <w:top w:w="50.0" w:type="dxa"/>
        <w:left w:w="50.0" w:type="dxa"/>
        <w:bottom w:w="50.0" w:type="dxa"/>
        <w:right w:w="50.0" w:type="dxa"/>
      </w:tblCellMar>
    </w:tblPr>
  </w:style>
  <w:style w:type="table" w:styleId="aff" w:customStyle="1">
    <w:basedOn w:val="TableNormal"/>
    <w:tblPr>
      <w:tblStyleRowBandSize w:val="1"/>
      <w:tblStyleColBandSize w:val="1"/>
      <w:tblCellMar>
        <w:left w:w="10.0" w:type="dxa"/>
        <w:right w:w="10.0" w:type="dxa"/>
      </w:tblCellMar>
    </w:tblPr>
  </w:style>
  <w:style w:type="table" w:styleId="aff0" w:customStyle="1">
    <w:basedOn w:val="TableNormal"/>
    <w:tblPr>
      <w:tblStyleRowBandSize w:val="1"/>
      <w:tblStyleColBandSize w:val="1"/>
      <w:tblCellMar>
        <w:left w:w="10.0" w:type="dxa"/>
        <w:right w:w="10.0" w:type="dxa"/>
      </w:tblCellMar>
    </w:tblPr>
  </w:style>
  <w:style w:type="table" w:styleId="aff1" w:customStyle="1">
    <w:basedOn w:val="TableNormal"/>
    <w:tblPr>
      <w:tblStyleRowBandSize w:val="1"/>
      <w:tblStyleColBandSize w:val="1"/>
      <w:tblCellMar>
        <w:left w:w="10.0" w:type="dxa"/>
        <w:right w:w="10.0" w:type="dxa"/>
      </w:tblCellMar>
    </w:tblPr>
  </w:style>
  <w:style w:type="table" w:styleId="aff2" w:customStyle="1">
    <w:basedOn w:val="TableNormal"/>
    <w:tblPr>
      <w:tblStyleRowBandSize w:val="1"/>
      <w:tblStyleColBandSize w:val="1"/>
      <w:tblCellMar>
        <w:left w:w="10.0" w:type="dxa"/>
        <w:right w:w="10.0" w:type="dxa"/>
      </w:tblCellMar>
    </w:tblPr>
  </w:style>
  <w:style w:type="table" w:styleId="aff3" w:customStyle="1">
    <w:basedOn w:val="TableNormal"/>
    <w:tblPr>
      <w:tblStyleRowBandSize w:val="1"/>
      <w:tblStyleColBandSize w:val="1"/>
      <w:tblCellMar>
        <w:left w:w="10.0" w:type="dxa"/>
        <w:right w:w="10.0" w:type="dxa"/>
      </w:tblCellMar>
    </w:tblPr>
  </w:style>
  <w:style w:type="table" w:styleId="aff4" w:customStyle="1">
    <w:basedOn w:val="TableNormal"/>
    <w:tblPr>
      <w:tblStyleRowBandSize w:val="1"/>
      <w:tblStyleColBandSize w:val="1"/>
      <w:tblCellMar>
        <w:left w:w="10.0" w:type="dxa"/>
        <w:right w:w="10.0" w:type="dxa"/>
      </w:tblCellMar>
    </w:tblPr>
  </w:style>
  <w:style w:type="table" w:styleId="aff5" w:customStyle="1">
    <w:basedOn w:val="TableNormal"/>
    <w:tblPr>
      <w:tblStyleRowBandSize w:val="1"/>
      <w:tblStyleColBandSize w:val="1"/>
      <w:tblCellMar>
        <w:top w:w="50.0" w:type="dxa"/>
        <w:left w:w="50.0" w:type="dxa"/>
        <w:bottom w:w="50.0" w:type="dxa"/>
        <w:right w:w="50.0" w:type="dxa"/>
      </w:tblCellMar>
    </w:tblPr>
  </w:style>
  <w:style w:type="table" w:styleId="aff6" w:customStyle="1">
    <w:basedOn w:val="TableNormal"/>
    <w:tblPr>
      <w:tblStyleRowBandSize w:val="1"/>
      <w:tblStyleColBandSize w:val="1"/>
      <w:tblCellMar>
        <w:top w:w="50.0" w:type="dxa"/>
        <w:left w:w="50.0" w:type="dxa"/>
        <w:bottom w:w="50.0" w:type="dxa"/>
        <w:right w:w="50.0" w:type="dxa"/>
      </w:tblCellMar>
    </w:tblPr>
  </w:style>
  <w:style w:type="table" w:styleId="aff7" w:customStyle="1">
    <w:basedOn w:val="TableNormal"/>
    <w:tblPr>
      <w:tblStyleRowBandSize w:val="1"/>
      <w:tblStyleColBandSize w:val="1"/>
      <w:tblCellMar>
        <w:left w:w="10.0" w:type="dxa"/>
        <w:right w:w="10.0" w:type="dxa"/>
      </w:tblCellMar>
    </w:tblPr>
  </w:style>
  <w:style w:type="table" w:styleId="aff8" w:customStyle="1">
    <w:basedOn w:val="TableNormal"/>
    <w:tblPr>
      <w:tblStyleRowBandSize w:val="1"/>
      <w:tblStyleColBandSize w:val="1"/>
      <w:tblCellMar>
        <w:top w:w="50.0" w:type="dxa"/>
        <w:left w:w="50.0" w:type="dxa"/>
        <w:bottom w:w="50.0" w:type="dxa"/>
        <w:right w:w="50.0" w:type="dxa"/>
      </w:tblCellMar>
    </w:tblPr>
  </w:style>
  <w:style w:type="table" w:styleId="aff9" w:customStyle="1">
    <w:basedOn w:val="TableNormal"/>
    <w:tblPr>
      <w:tblStyleRowBandSize w:val="1"/>
      <w:tblStyleColBandSize w:val="1"/>
      <w:tblCellMar>
        <w:left w:w="10.0" w:type="dxa"/>
        <w:right w:w="10.0" w:type="dxa"/>
      </w:tblCellMar>
    </w:tblPr>
  </w:style>
  <w:style w:type="table" w:styleId="affa" w:customStyle="1">
    <w:basedOn w:val="TableNormal"/>
    <w:tblPr>
      <w:tblStyleRowBandSize w:val="1"/>
      <w:tblStyleColBandSize w:val="1"/>
      <w:tblCellMar>
        <w:left w:w="10.0" w:type="dxa"/>
        <w:right w:w="10.0" w:type="dxa"/>
      </w:tblCellMar>
    </w:tblPr>
  </w:style>
  <w:style w:type="table" w:styleId="affb" w:customStyle="1">
    <w:basedOn w:val="TableNormal"/>
    <w:tblPr>
      <w:tblStyleRowBandSize w:val="1"/>
      <w:tblStyleColBandSize w:val="1"/>
      <w:tblCellMar>
        <w:left w:w="10.0" w:type="dxa"/>
        <w:right w:w="10.0" w:type="dxa"/>
      </w:tblCellMar>
    </w:tblPr>
  </w:style>
  <w:style w:type="table" w:styleId="affc" w:customStyle="1">
    <w:basedOn w:val="TableNormal"/>
    <w:tblPr>
      <w:tblStyleRowBandSize w:val="1"/>
      <w:tblStyleColBandSize w:val="1"/>
      <w:tblCellMar>
        <w:left w:w="10.0" w:type="dxa"/>
        <w:right w:w="10.0" w:type="dxa"/>
      </w:tblCellMar>
    </w:tblPr>
  </w:style>
  <w:style w:type="table" w:styleId="affd" w:customStyle="1">
    <w:basedOn w:val="TableNormal"/>
    <w:tblPr>
      <w:tblStyleRowBandSize w:val="1"/>
      <w:tblStyleColBandSize w:val="1"/>
      <w:tblCellMar>
        <w:left w:w="10.0" w:type="dxa"/>
        <w:right w:w="10.0" w:type="dxa"/>
      </w:tblCellMar>
    </w:tblPr>
  </w:style>
  <w:style w:type="paragraph" w:styleId="NormalWeb">
    <w:name w:val="Normal (Web)"/>
    <w:basedOn w:val="Normal"/>
    <w:uiPriority w:val="99"/>
    <w:semiHidden w:val="1"/>
    <w:unhideWhenUsed w:val="1"/>
    <w:rsid w:val="000131B2"/>
    <w:rPr>
      <w:rFonts w:ascii="Times New Roman" w:cs="Times New Roman" w:hAnsi="Times New Roman"/>
      <w:sz w:val="24"/>
      <w:szCs w:val="24"/>
    </w:rPr>
  </w:style>
  <w:style w:type="paragraph" w:styleId="Default" w:customStyle="1">
    <w:name w:val="Default"/>
    <w:rsid w:val="00483456"/>
    <w:pPr>
      <w:autoSpaceDE w:val="0"/>
      <w:autoSpaceDN w:val="0"/>
      <w:adjustRightInd w:val="0"/>
      <w:spacing w:after="0" w:line="240" w:lineRule="auto"/>
    </w:pPr>
    <w:rPr>
      <w:rFonts w:ascii="Times New Roman" w:cs="Times New Roman" w:hAnsi="Times New Roman"/>
      <w:color w:val="000000"/>
      <w:sz w:val="24"/>
      <w:szCs w:val="24"/>
      <w:lang w:val="en-US"/>
    </w:rPr>
  </w:style>
  <w:style w:type="paragraph" w:styleId="BorderedParagraph" w:customStyle="1">
    <w:name w:val="BorderedParagraph"/>
    <w:basedOn w:val="Normal"/>
    <w:rsid w:val="0051464A"/>
    <w:pPr>
      <w:pBdr>
        <w:top w:color="000000" w:space="0" w:sz="6" w:val="single"/>
        <w:left w:color="000000" w:space="0" w:sz="6" w:val="single"/>
        <w:bottom w:color="000000" w:space="0" w:sz="6" w:val="single"/>
        <w:right w:color="000000" w:space="0" w:sz="6" w:val="single"/>
      </w:pBdr>
      <w:spacing w:line="254" w:lineRule="auto"/>
    </w:pPr>
    <w:rPr>
      <w:lang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sO7pzs1V84JIwOsRY9yeJzWQr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mloM3Q5ZGdxb2VhMg1oLm44NzM2NXUweWZoOAByITExM3JRaFlzQ2RpUUgxVXNBSmpBcDY5Zm1LLVZOVnRI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2026-07-04T09:59:00Z</dcterms:created>
  <dc:creator>Alin David</dc:creator>
</cp:coreProperties>
</file>